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51A0E" w14:textId="78208E0B" w:rsidR="00066F36" w:rsidRDefault="00947CD7" w:rsidP="002E1EFE">
      <w:pPr>
        <w:widowControl w:val="0"/>
        <w:spacing w:after="0" w:line="360" w:lineRule="auto"/>
        <w:ind w:left="690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947CD7">
        <w:rPr>
          <w:rFonts w:ascii="Arial" w:hAnsi="Arial" w:cs="Arial"/>
          <w:b/>
          <w:bCs/>
          <w:sz w:val="20"/>
          <w:szCs w:val="20"/>
        </w:rPr>
        <w:t>„Dostawa</w:t>
      </w:r>
      <w:r w:rsidR="002617C4">
        <w:rPr>
          <w:rFonts w:ascii="Arial" w:hAnsi="Arial" w:cs="Arial"/>
          <w:b/>
          <w:bCs/>
          <w:sz w:val="20"/>
          <w:szCs w:val="20"/>
        </w:rPr>
        <w:t xml:space="preserve"> odczynników do koagulologii wraz z dzierżawą aparatu dla Działu Diagnostyki Laboratoryjnej ZOZ Ropczyce</w:t>
      </w:r>
      <w:r w:rsidR="002E1EFE">
        <w:rPr>
          <w:rFonts w:ascii="Arial" w:hAnsi="Arial" w:cs="Arial"/>
          <w:b/>
          <w:bCs/>
          <w:sz w:val="20"/>
          <w:szCs w:val="20"/>
        </w:rPr>
        <w:t>”</w:t>
      </w:r>
    </w:p>
    <w:p w14:paraId="2DD454EC" w14:textId="77777777" w:rsidR="008831FD" w:rsidRPr="00EB129E" w:rsidRDefault="008831FD" w:rsidP="00947CD7">
      <w:pPr>
        <w:widowControl w:val="0"/>
        <w:spacing w:after="0" w:line="360" w:lineRule="auto"/>
        <w:ind w:left="690" w:hanging="360"/>
        <w:jc w:val="both"/>
        <w:rPr>
          <w:rFonts w:ascii="Arial" w:hAnsi="Arial" w:cs="Arial"/>
          <w:sz w:val="20"/>
          <w:szCs w:val="20"/>
        </w:rPr>
      </w:pPr>
    </w:p>
    <w:p w14:paraId="5679A130" w14:textId="7B43A7F9" w:rsidR="00EB129E" w:rsidRPr="00D07FB7" w:rsidRDefault="00EB129E" w:rsidP="00EB129E">
      <w:pPr>
        <w:pStyle w:val="Akapitzlist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07FB7">
        <w:rPr>
          <w:rFonts w:ascii="Arial" w:hAnsi="Arial" w:cs="Arial"/>
          <w:sz w:val="20"/>
          <w:szCs w:val="20"/>
        </w:rPr>
        <w:t xml:space="preserve">Wykonawca dostarczy przedmiot zamówienia w terminie </w:t>
      </w:r>
      <w:r w:rsidRPr="00D07FB7">
        <w:rPr>
          <w:rFonts w:ascii="Arial" w:hAnsi="Arial" w:cs="Arial"/>
          <w:b/>
          <w:bCs/>
          <w:sz w:val="20"/>
          <w:szCs w:val="20"/>
        </w:rPr>
        <w:t>do 3 dni roboczych</w:t>
      </w:r>
      <w:r w:rsidRPr="00D07FB7">
        <w:rPr>
          <w:rFonts w:ascii="Arial" w:hAnsi="Arial" w:cs="Arial"/>
          <w:sz w:val="20"/>
          <w:szCs w:val="20"/>
        </w:rPr>
        <w:t xml:space="preserve"> od dnia zamówienia. </w:t>
      </w:r>
    </w:p>
    <w:p w14:paraId="5D48EAEA" w14:textId="206CBAD8" w:rsidR="00EB129E" w:rsidRPr="00D07FB7" w:rsidRDefault="00EB129E" w:rsidP="00EB129E">
      <w:pPr>
        <w:pStyle w:val="Akapitzlist"/>
        <w:numPr>
          <w:ilvl w:val="0"/>
          <w:numId w:val="4"/>
        </w:numPr>
        <w:suppressAutoHyphens/>
        <w:spacing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07FB7">
        <w:rPr>
          <w:rFonts w:ascii="Arial" w:hAnsi="Arial" w:cs="Arial"/>
          <w:sz w:val="20"/>
          <w:szCs w:val="20"/>
        </w:rPr>
        <w:t xml:space="preserve">Wykonawca obowiązany jest do dostarczenia przedmiotu umowy własnym transportem i na własny koszt do Szpitala Powiatowego w Sędziszowie Małopolskim 39-120, ul. Wyspiańskiego 14, Dział </w:t>
      </w:r>
      <w:r w:rsidR="008831FD">
        <w:rPr>
          <w:rFonts w:ascii="Arial" w:hAnsi="Arial" w:cs="Arial"/>
          <w:sz w:val="20"/>
          <w:szCs w:val="20"/>
        </w:rPr>
        <w:t xml:space="preserve">Diagnostyki Laboratoryjnej, </w:t>
      </w:r>
      <w:r w:rsidRPr="00D07FB7">
        <w:rPr>
          <w:rFonts w:ascii="Arial" w:hAnsi="Arial" w:cs="Arial"/>
          <w:sz w:val="20"/>
          <w:szCs w:val="20"/>
        </w:rPr>
        <w:t xml:space="preserve">od poniedziałku do piątku (za wyjątkiem dni ustawowo wolnych od pracy), w godzinach 7:30-14:00 wraz z rozładunkiem do pomieszczeń </w:t>
      </w:r>
      <w:r w:rsidR="008831FD">
        <w:rPr>
          <w:rFonts w:ascii="Arial" w:hAnsi="Arial" w:cs="Arial"/>
          <w:sz w:val="20"/>
          <w:szCs w:val="20"/>
        </w:rPr>
        <w:t>DDL.</w:t>
      </w:r>
      <w:r w:rsidRPr="00D07FB7">
        <w:rPr>
          <w:rFonts w:ascii="Arial" w:hAnsi="Arial" w:cs="Arial"/>
          <w:sz w:val="20"/>
          <w:szCs w:val="20"/>
        </w:rPr>
        <w:t xml:space="preserve"> </w:t>
      </w:r>
    </w:p>
    <w:p w14:paraId="7DFE5CEC" w14:textId="2F873781" w:rsidR="00D07FB7" w:rsidRPr="00D07FB7" w:rsidRDefault="00D07FB7" w:rsidP="00D07FB7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7FB7">
        <w:rPr>
          <w:rFonts w:ascii="Arial" w:hAnsi="Arial" w:cs="Arial"/>
          <w:b/>
          <w:bCs/>
          <w:sz w:val="20"/>
          <w:szCs w:val="20"/>
        </w:rPr>
        <w:t>Parametry bezwzględnie wymagane dla analizatora: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1"/>
        <w:gridCol w:w="9105"/>
      </w:tblGrid>
      <w:tr w:rsidR="00D07FB7" w:rsidRPr="000219AD" w14:paraId="4C771C81" w14:textId="77777777" w:rsidTr="0079065D">
        <w:trPr>
          <w:jc w:val="center"/>
        </w:trPr>
        <w:tc>
          <w:tcPr>
            <w:tcW w:w="324" w:type="pct"/>
          </w:tcPr>
          <w:p w14:paraId="78C31861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76" w:type="pct"/>
          </w:tcPr>
          <w:p w14:paraId="6F8B4230" w14:textId="553A79EC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Aparat w pełni automatyczny, nowy lub używany - ale nie starszy niż z 2019 rok</w:t>
            </w:r>
            <w:r w:rsidRPr="00C017D4">
              <w:rPr>
                <w:rFonts w:ascii="Arial" w:hAnsi="Arial" w:cs="Arial"/>
                <w:sz w:val="20"/>
                <w:szCs w:val="20"/>
                <w:lang w:eastAsia="ar-SA"/>
              </w:rPr>
              <w:t xml:space="preserve">u, 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wyposażony w komputer, wewnętrzny czytnik kodów kreskowych oraz z możliwością podłączenia zewnętrznego skanera.</w:t>
            </w:r>
          </w:p>
        </w:tc>
      </w:tr>
      <w:tr w:rsidR="00D07FB7" w:rsidRPr="000219AD" w14:paraId="6AD456BC" w14:textId="77777777" w:rsidTr="0079065D">
        <w:trPr>
          <w:jc w:val="center"/>
        </w:trPr>
        <w:tc>
          <w:tcPr>
            <w:tcW w:w="324" w:type="pct"/>
          </w:tcPr>
          <w:p w14:paraId="108D5E74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76" w:type="pct"/>
          </w:tcPr>
          <w:p w14:paraId="1A6D369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Zakres badań: PT, APTT, Fibrynogen</w:t>
            </w:r>
          </w:p>
        </w:tc>
      </w:tr>
      <w:tr w:rsidR="00D07FB7" w:rsidRPr="000219AD" w14:paraId="7D2BEEC8" w14:textId="77777777" w:rsidTr="0079065D">
        <w:trPr>
          <w:jc w:val="center"/>
        </w:trPr>
        <w:tc>
          <w:tcPr>
            <w:tcW w:w="324" w:type="pct"/>
          </w:tcPr>
          <w:p w14:paraId="6F104B40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76" w:type="pct"/>
          </w:tcPr>
          <w:p w14:paraId="5F23D840" w14:textId="5D1EAD3A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Pomiar stężenia fibrynogenu na 2 sposoby: metodą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Claussa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oraz wyliczany podczas pomiaru PT</w:t>
            </w:r>
          </w:p>
        </w:tc>
      </w:tr>
      <w:tr w:rsidR="00D07FB7" w:rsidRPr="000219AD" w14:paraId="42C55033" w14:textId="77777777" w:rsidTr="0079065D">
        <w:trPr>
          <w:jc w:val="center"/>
        </w:trPr>
        <w:tc>
          <w:tcPr>
            <w:tcW w:w="324" w:type="pct"/>
          </w:tcPr>
          <w:p w14:paraId="19745F34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76" w:type="pct"/>
          </w:tcPr>
          <w:p w14:paraId="2074FAC6" w14:textId="7DD44AB4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Aparat posiada program „Kontrola Jakości” z pamięcią wyników i możliwością wydruku</w:t>
            </w:r>
          </w:p>
        </w:tc>
      </w:tr>
      <w:tr w:rsidR="00D07FB7" w:rsidRPr="000219AD" w14:paraId="16DD35F9" w14:textId="77777777" w:rsidTr="0079065D">
        <w:trPr>
          <w:jc w:val="center"/>
        </w:trPr>
        <w:tc>
          <w:tcPr>
            <w:tcW w:w="324" w:type="pct"/>
          </w:tcPr>
          <w:p w14:paraId="26A29F4D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676" w:type="pct"/>
          </w:tcPr>
          <w:p w14:paraId="47C62098" w14:textId="5442E57C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Możliwość samodzielnego programowania pomiarów, np. oznaczenie pojedyncze, dublet lub dowolna ilość powtórzeń</w:t>
            </w:r>
          </w:p>
        </w:tc>
      </w:tr>
      <w:tr w:rsidR="00D07FB7" w:rsidRPr="000219AD" w14:paraId="0E91DAE3" w14:textId="77777777" w:rsidTr="0079065D">
        <w:trPr>
          <w:jc w:val="center"/>
        </w:trPr>
        <w:tc>
          <w:tcPr>
            <w:tcW w:w="324" w:type="pct"/>
          </w:tcPr>
          <w:p w14:paraId="3F6C4143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676" w:type="pct"/>
          </w:tcPr>
          <w:p w14:paraId="37107CD5" w14:textId="256A96E5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Aparat pracuje na próbkach pierwotnych - odwirowanych bez wstępnego przygotowania</w:t>
            </w:r>
          </w:p>
        </w:tc>
      </w:tr>
      <w:tr w:rsidR="00D07FB7" w:rsidRPr="000219AD" w14:paraId="45167BDA" w14:textId="77777777" w:rsidTr="0079065D">
        <w:trPr>
          <w:jc w:val="center"/>
        </w:trPr>
        <w:tc>
          <w:tcPr>
            <w:tcW w:w="324" w:type="pct"/>
          </w:tcPr>
          <w:p w14:paraId="0C86F256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676" w:type="pct"/>
          </w:tcPr>
          <w:p w14:paraId="300B85BD" w14:textId="052BA8A9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Możliwość wstawiania różnego rodzaju probówek, także pediatrycznych</w:t>
            </w:r>
          </w:p>
        </w:tc>
      </w:tr>
      <w:tr w:rsidR="00D07FB7" w:rsidRPr="000219AD" w14:paraId="699ACAA3" w14:textId="77777777" w:rsidTr="0079065D">
        <w:trPr>
          <w:jc w:val="center"/>
        </w:trPr>
        <w:tc>
          <w:tcPr>
            <w:tcW w:w="324" w:type="pct"/>
          </w:tcPr>
          <w:p w14:paraId="0A9A2C05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676" w:type="pct"/>
          </w:tcPr>
          <w:p w14:paraId="57977CC7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Możliwość wstawiania próbek CITO w czasie pracy aparatu</w:t>
            </w:r>
          </w:p>
        </w:tc>
      </w:tr>
      <w:tr w:rsidR="00D07FB7" w:rsidRPr="000219AD" w14:paraId="50B4C659" w14:textId="77777777" w:rsidTr="0079065D">
        <w:trPr>
          <w:jc w:val="center"/>
        </w:trPr>
        <w:tc>
          <w:tcPr>
            <w:tcW w:w="324" w:type="pct"/>
          </w:tcPr>
          <w:p w14:paraId="725CC214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676" w:type="pct"/>
          </w:tcPr>
          <w:p w14:paraId="6B8E6490" w14:textId="76F20A39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Aparat wyposażony w oddzielne igły dozujące do osoczy i odczynników</w:t>
            </w:r>
          </w:p>
        </w:tc>
      </w:tr>
      <w:tr w:rsidR="00D07FB7" w:rsidRPr="000219AD" w14:paraId="2280739C" w14:textId="77777777" w:rsidTr="0079065D">
        <w:trPr>
          <w:jc w:val="center"/>
        </w:trPr>
        <w:tc>
          <w:tcPr>
            <w:tcW w:w="324" w:type="pct"/>
          </w:tcPr>
          <w:p w14:paraId="422A1CAC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676" w:type="pct"/>
          </w:tcPr>
          <w:p w14:paraId="649AD23E" w14:textId="3E7F1AB4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Aparat posiada chłodzony blok odczynników</w:t>
            </w:r>
          </w:p>
        </w:tc>
      </w:tr>
      <w:tr w:rsidR="00D07FB7" w:rsidRPr="000219AD" w14:paraId="126CF99D" w14:textId="77777777" w:rsidTr="0079065D">
        <w:trPr>
          <w:jc w:val="center"/>
        </w:trPr>
        <w:tc>
          <w:tcPr>
            <w:tcW w:w="324" w:type="pct"/>
          </w:tcPr>
          <w:p w14:paraId="34DFEE68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4676" w:type="pct"/>
          </w:tcPr>
          <w:p w14:paraId="0DC9D13E" w14:textId="2D3037BE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Aparat posiada automatyczne układy kompensacji zmętnienia – możliwość pomiaru osoczy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lipemicznych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zhemolizowanych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, żółtaczkowych</w:t>
            </w:r>
          </w:p>
        </w:tc>
      </w:tr>
      <w:tr w:rsidR="00D07FB7" w:rsidRPr="000219AD" w14:paraId="7E06EA23" w14:textId="77777777" w:rsidTr="0079065D">
        <w:trPr>
          <w:jc w:val="center"/>
        </w:trPr>
        <w:tc>
          <w:tcPr>
            <w:tcW w:w="324" w:type="pct"/>
          </w:tcPr>
          <w:p w14:paraId="79B0B773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4676" w:type="pct"/>
          </w:tcPr>
          <w:p w14:paraId="0B7AB88F" w14:textId="2DD75163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Automatyczne rozcieńczanie próbek po przekroczeniu zakresu pomiarowego</w:t>
            </w:r>
          </w:p>
        </w:tc>
      </w:tr>
      <w:tr w:rsidR="00D07FB7" w:rsidRPr="000219AD" w14:paraId="4F3A191B" w14:textId="77777777" w:rsidTr="0079065D">
        <w:trPr>
          <w:jc w:val="center"/>
        </w:trPr>
        <w:tc>
          <w:tcPr>
            <w:tcW w:w="324" w:type="pct"/>
          </w:tcPr>
          <w:p w14:paraId="6A5136A6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676" w:type="pct"/>
          </w:tcPr>
          <w:p w14:paraId="48AA7AE9" w14:textId="385A02E1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Wpięcie aparatu do systemu informatycznego „Info-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Medica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” - na koszt Oferenta</w:t>
            </w:r>
          </w:p>
        </w:tc>
      </w:tr>
      <w:tr w:rsidR="00D07FB7" w:rsidRPr="000219AD" w14:paraId="0F838320" w14:textId="77777777" w:rsidTr="0079065D">
        <w:trPr>
          <w:jc w:val="center"/>
        </w:trPr>
        <w:tc>
          <w:tcPr>
            <w:tcW w:w="324" w:type="pct"/>
          </w:tcPr>
          <w:p w14:paraId="02E20032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4676" w:type="pct"/>
          </w:tcPr>
          <w:p w14:paraId="332E3A68" w14:textId="0DA3A906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Aparat na czas dzierżawy objęty gwarancją, </w:t>
            </w:r>
            <w:proofErr w:type="spellStart"/>
            <w:r w:rsidR="002E1EFE">
              <w:rPr>
                <w:rFonts w:ascii="Arial" w:hAnsi="Arial" w:cs="Arial"/>
                <w:sz w:val="20"/>
                <w:szCs w:val="20"/>
                <w:lang w:eastAsia="ar-SA"/>
              </w:rPr>
              <w:t>Wykonawca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t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zapewnia bezpłatne przeglądy</w:t>
            </w:r>
            <w:r w:rsidR="009A5EC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(minimum 1 rocznie) a na czas awarii – aparat zastępczy</w:t>
            </w:r>
          </w:p>
        </w:tc>
      </w:tr>
      <w:tr w:rsidR="00D07FB7" w:rsidRPr="000219AD" w14:paraId="2B773C32" w14:textId="77777777" w:rsidTr="0079065D">
        <w:trPr>
          <w:jc w:val="center"/>
        </w:trPr>
        <w:tc>
          <w:tcPr>
            <w:tcW w:w="324" w:type="pct"/>
          </w:tcPr>
          <w:p w14:paraId="434A16DA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676" w:type="pct"/>
          </w:tcPr>
          <w:p w14:paraId="0C5B73D4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Udział w kontroli międzynarodowej z zakresu hemostazy minimum 4 razy w roku</w:t>
            </w:r>
          </w:p>
        </w:tc>
      </w:tr>
      <w:tr w:rsidR="00D07FB7" w:rsidRPr="000219AD" w14:paraId="04D82025" w14:textId="77777777" w:rsidTr="0079065D">
        <w:trPr>
          <w:jc w:val="center"/>
        </w:trPr>
        <w:tc>
          <w:tcPr>
            <w:tcW w:w="324" w:type="pct"/>
          </w:tcPr>
          <w:p w14:paraId="184D1C23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676" w:type="pct"/>
          </w:tcPr>
          <w:p w14:paraId="613D399D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Bezpłatny udział w Zintegrowanym Systemie Kontroli Jakości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StandLab</w:t>
            </w:r>
            <w:proofErr w:type="spellEnd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IQS</w:t>
            </w:r>
          </w:p>
        </w:tc>
      </w:tr>
      <w:tr w:rsidR="00D07FB7" w:rsidRPr="000219AD" w14:paraId="0AF394E8" w14:textId="77777777" w:rsidTr="0079065D">
        <w:trPr>
          <w:jc w:val="center"/>
        </w:trPr>
        <w:tc>
          <w:tcPr>
            <w:tcW w:w="324" w:type="pct"/>
          </w:tcPr>
          <w:p w14:paraId="7255D254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4676" w:type="pct"/>
          </w:tcPr>
          <w:p w14:paraId="6172C4C5" w14:textId="6030C5D2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Backup</w:t>
            </w:r>
            <w:r w:rsidR="009A5EC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- aparat manualny, pracujący na tych samych odczynnikach i materiałach zużywalnych co analizator główny</w:t>
            </w:r>
          </w:p>
        </w:tc>
      </w:tr>
    </w:tbl>
    <w:p w14:paraId="11BDD158" w14:textId="77777777" w:rsidR="00D07FB7" w:rsidRPr="00D07FB7" w:rsidRDefault="00D07FB7" w:rsidP="00D07FB7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F96C47" w14:textId="30A8EB67" w:rsidR="00EB129E" w:rsidRDefault="00D07FB7" w:rsidP="00D07FB7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07FB7">
        <w:rPr>
          <w:rFonts w:ascii="Arial" w:hAnsi="Arial" w:cs="Arial"/>
          <w:b/>
          <w:bCs/>
          <w:color w:val="auto"/>
          <w:sz w:val="20"/>
          <w:szCs w:val="20"/>
        </w:rPr>
        <w:t>Parametry bezwzględnie wymagane dla odczynników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0"/>
        <w:gridCol w:w="1673"/>
        <w:gridCol w:w="7437"/>
      </w:tblGrid>
      <w:tr w:rsidR="00D07FB7" w:rsidRPr="00D07FB7" w14:paraId="133E49F9" w14:textId="77777777" w:rsidTr="0079065D">
        <w:trPr>
          <w:jc w:val="center"/>
        </w:trPr>
        <w:tc>
          <w:tcPr>
            <w:tcW w:w="240" w:type="pct"/>
          </w:tcPr>
          <w:p w14:paraId="5A2D5423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72" w:type="pct"/>
            <w:gridSpan w:val="2"/>
          </w:tcPr>
          <w:p w14:paraId="1801AC5E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Parametry wymagane dotyczące odczynników</w:t>
            </w:r>
          </w:p>
        </w:tc>
      </w:tr>
      <w:tr w:rsidR="00D07FB7" w:rsidRPr="00D07FB7" w14:paraId="7EF3C37B" w14:textId="77777777" w:rsidTr="0079065D">
        <w:trPr>
          <w:jc w:val="center"/>
        </w:trPr>
        <w:tc>
          <w:tcPr>
            <w:tcW w:w="240" w:type="pct"/>
          </w:tcPr>
          <w:p w14:paraId="57A8954B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472" w:type="pct"/>
            <w:gridSpan w:val="2"/>
          </w:tcPr>
          <w:p w14:paraId="79745527" w14:textId="4812F661" w:rsidR="00D07FB7" w:rsidRPr="00177ADA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>Odczynniki, kontrole i kalibrator od jednego producenta – dołączyć oryginalne ulotki w j. polskim</w:t>
            </w:r>
            <w:r w:rsidR="00177ADA"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 w formie p</w:t>
            </w:r>
            <w:r w:rsid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>apierowej lub elektronicznej</w:t>
            </w:r>
            <w:r w:rsidR="0079065D"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 (po podpisaniu umowy)</w:t>
            </w:r>
          </w:p>
        </w:tc>
      </w:tr>
      <w:tr w:rsidR="00D07FB7" w:rsidRPr="00D07FB7" w14:paraId="10DD117C" w14:textId="77777777" w:rsidTr="0079065D">
        <w:trPr>
          <w:jc w:val="center"/>
        </w:trPr>
        <w:tc>
          <w:tcPr>
            <w:tcW w:w="240" w:type="pct"/>
          </w:tcPr>
          <w:p w14:paraId="689F51DF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472" w:type="pct"/>
            <w:gridSpan w:val="2"/>
          </w:tcPr>
          <w:p w14:paraId="4314D285" w14:textId="4FFF95D5" w:rsidR="00D07FB7" w:rsidRPr="00177ADA" w:rsidRDefault="002E1EFE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>Wykonawca</w:t>
            </w:r>
            <w:r w:rsidR="00D07FB7"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 dostarczy karty charakterystyki wszystkich odczynników w wersji papierowej</w:t>
            </w:r>
            <w:r w:rsidR="0079065D"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lub elektronicznej </w:t>
            </w:r>
            <w:r w:rsidR="0079065D" w:rsidRPr="00177ADA">
              <w:rPr>
                <w:rFonts w:ascii="Arial" w:hAnsi="Arial" w:cs="Arial"/>
                <w:color w:val="000000" w:themeColor="text1"/>
                <w:sz w:val="20"/>
                <w:szCs w:val="20"/>
                <w:lang w:eastAsia="ar-SA"/>
              </w:rPr>
              <w:t xml:space="preserve">(po podpisaniu umowy) </w:t>
            </w:r>
          </w:p>
        </w:tc>
      </w:tr>
      <w:tr w:rsidR="00D07FB7" w:rsidRPr="00D07FB7" w14:paraId="19F7048F" w14:textId="77777777" w:rsidTr="0079065D">
        <w:trPr>
          <w:jc w:val="center"/>
        </w:trPr>
        <w:tc>
          <w:tcPr>
            <w:tcW w:w="240" w:type="pct"/>
          </w:tcPr>
          <w:p w14:paraId="0BF47B5F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472" w:type="pct"/>
            <w:gridSpan w:val="2"/>
          </w:tcPr>
          <w:p w14:paraId="3D2D9D44" w14:textId="6C13A145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W przypadku nieoryginalnych odczynników – </w:t>
            </w:r>
            <w:r w:rsidR="002E1EFE">
              <w:rPr>
                <w:rFonts w:ascii="Arial" w:hAnsi="Arial" w:cs="Arial"/>
                <w:sz w:val="20"/>
                <w:szCs w:val="20"/>
                <w:lang w:eastAsia="ar-SA"/>
              </w:rPr>
              <w:t xml:space="preserve">Wykonawca 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dostarczy dokument potwierdzający kompatybilność z oferowanym aparatem, wystawiony przez producenta analizatora</w:t>
            </w:r>
          </w:p>
        </w:tc>
      </w:tr>
      <w:tr w:rsidR="00D07FB7" w:rsidRPr="00D07FB7" w14:paraId="6B378CC2" w14:textId="77777777" w:rsidTr="0079065D">
        <w:trPr>
          <w:jc w:val="center"/>
        </w:trPr>
        <w:tc>
          <w:tcPr>
            <w:tcW w:w="240" w:type="pct"/>
          </w:tcPr>
          <w:p w14:paraId="3476A70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3472" w:type="pct"/>
            <w:gridSpan w:val="2"/>
          </w:tcPr>
          <w:p w14:paraId="46F2C9E1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Odczynniki optycznie czyste (bez zmętnienia)</w:t>
            </w:r>
          </w:p>
        </w:tc>
      </w:tr>
      <w:tr w:rsidR="00D07FB7" w:rsidRPr="00D07FB7" w14:paraId="37D8A1CD" w14:textId="77777777" w:rsidTr="0079065D">
        <w:trPr>
          <w:jc w:val="center"/>
        </w:trPr>
        <w:tc>
          <w:tcPr>
            <w:tcW w:w="240" w:type="pct"/>
          </w:tcPr>
          <w:p w14:paraId="4D1FEE61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472" w:type="pct"/>
            <w:gridSpan w:val="2"/>
          </w:tcPr>
          <w:p w14:paraId="5D08DB79" w14:textId="37CD34CA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Osocze kontrolne na 2 poziomach z wyznaczonymi wartościami przez producenta odczynników na oferowany aparat - dołączyć odpowiedni dokument</w:t>
            </w:r>
          </w:p>
        </w:tc>
      </w:tr>
      <w:tr w:rsidR="00D07FB7" w:rsidRPr="00D07FB7" w14:paraId="569CC596" w14:textId="77777777" w:rsidTr="0079065D">
        <w:trPr>
          <w:jc w:val="center"/>
        </w:trPr>
        <w:tc>
          <w:tcPr>
            <w:tcW w:w="240" w:type="pct"/>
            <w:vMerge w:val="restart"/>
          </w:tcPr>
          <w:p w14:paraId="047F7FD6" w14:textId="5CAEE744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638" w:type="pct"/>
            <w:vMerge w:val="restart"/>
          </w:tcPr>
          <w:p w14:paraId="2A57F987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Odczynnik do PT</w:t>
            </w:r>
          </w:p>
        </w:tc>
        <w:tc>
          <w:tcPr>
            <w:tcW w:w="2835" w:type="pct"/>
          </w:tcPr>
          <w:p w14:paraId="0C0C8025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ind w:left="407" w:hanging="374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6.1 Tromboplastyna rekombinowana, pozwala na jednoczesne wyliczenie fibrynogenu</w:t>
            </w:r>
          </w:p>
        </w:tc>
      </w:tr>
      <w:tr w:rsidR="00D07FB7" w:rsidRPr="00D07FB7" w14:paraId="42F76B1C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5754E388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8" w:type="pct"/>
            <w:vMerge/>
            <w:vAlign w:val="center"/>
          </w:tcPr>
          <w:p w14:paraId="6EA9C2A7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pct"/>
          </w:tcPr>
          <w:p w14:paraId="0FE79979" w14:textId="481EB267" w:rsidR="00D07FB7" w:rsidRPr="00D07FB7" w:rsidRDefault="00D07FB7" w:rsidP="002E1EFE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6.2 Stabilność odczynnika roboczego minimum 30 dni w temp. 2-8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o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proofErr w:type="spellEnd"/>
          </w:p>
        </w:tc>
      </w:tr>
      <w:tr w:rsidR="00D07FB7" w:rsidRPr="00D07FB7" w14:paraId="7291BAB5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28D4E056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8" w:type="pct"/>
            <w:vMerge/>
            <w:vAlign w:val="center"/>
          </w:tcPr>
          <w:p w14:paraId="09AF063B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pct"/>
          </w:tcPr>
          <w:p w14:paraId="1A8EC7BF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ind w:left="407" w:hanging="407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6.3 W przypadku tromboplastyny liofilizowanej – rozpuszczalnik w zestawie</w:t>
            </w:r>
          </w:p>
        </w:tc>
      </w:tr>
      <w:tr w:rsidR="00D07FB7" w:rsidRPr="00D07FB7" w14:paraId="08046A15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5BB4A72A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8" w:type="pct"/>
            <w:vMerge/>
            <w:vAlign w:val="center"/>
          </w:tcPr>
          <w:p w14:paraId="3C7DE860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pct"/>
          </w:tcPr>
          <w:p w14:paraId="454876DA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4.4 Wartość ISI nie większa niż 1,1</w:t>
            </w:r>
          </w:p>
        </w:tc>
      </w:tr>
      <w:tr w:rsidR="00D07FB7" w:rsidRPr="00D07FB7" w14:paraId="1C70DCE2" w14:textId="77777777" w:rsidTr="0079065D">
        <w:trPr>
          <w:jc w:val="center"/>
        </w:trPr>
        <w:tc>
          <w:tcPr>
            <w:tcW w:w="240" w:type="pct"/>
            <w:vMerge w:val="restart"/>
          </w:tcPr>
          <w:p w14:paraId="2C6655C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38" w:type="pct"/>
            <w:vMerge w:val="restart"/>
          </w:tcPr>
          <w:p w14:paraId="6CF5D5A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Odczynnik do APTT</w:t>
            </w:r>
          </w:p>
        </w:tc>
        <w:tc>
          <w:tcPr>
            <w:tcW w:w="2835" w:type="pct"/>
          </w:tcPr>
          <w:p w14:paraId="2E12A5D6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7.1 Stabilność odczynnika roboczego minimum 30 dni w temp. 2-8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o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proofErr w:type="spellEnd"/>
          </w:p>
        </w:tc>
      </w:tr>
      <w:tr w:rsidR="00D07FB7" w:rsidRPr="00D07FB7" w14:paraId="30DBB4D2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30D69149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38" w:type="pct"/>
            <w:vMerge/>
            <w:vAlign w:val="center"/>
          </w:tcPr>
          <w:p w14:paraId="3290666D" w14:textId="77777777" w:rsidR="00D07FB7" w:rsidRPr="00D07FB7" w:rsidRDefault="00D07FB7" w:rsidP="00C63AE9">
            <w:pPr>
              <w:snapToGrid w:val="0"/>
              <w:spacing w:after="0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pct"/>
          </w:tcPr>
          <w:p w14:paraId="68B63352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7.2 Chlorek wapnia w zestawie</w:t>
            </w:r>
          </w:p>
        </w:tc>
      </w:tr>
      <w:tr w:rsidR="00D07FB7" w:rsidRPr="00D07FB7" w14:paraId="2766AD32" w14:textId="77777777" w:rsidTr="0079065D">
        <w:trPr>
          <w:jc w:val="center"/>
        </w:trPr>
        <w:tc>
          <w:tcPr>
            <w:tcW w:w="240" w:type="pct"/>
            <w:vMerge w:val="restart"/>
          </w:tcPr>
          <w:p w14:paraId="77B4A292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638" w:type="pct"/>
            <w:vMerge w:val="restart"/>
          </w:tcPr>
          <w:p w14:paraId="67CDA36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Odczynnik do fibrynogenu met.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Clauss'a</w:t>
            </w:r>
            <w:proofErr w:type="spellEnd"/>
          </w:p>
        </w:tc>
        <w:tc>
          <w:tcPr>
            <w:tcW w:w="2835" w:type="pct"/>
          </w:tcPr>
          <w:p w14:paraId="5702F465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8.1 Trombina liofilizowana, maksymalna obj. fiolki 2 ml</w:t>
            </w:r>
          </w:p>
        </w:tc>
      </w:tr>
      <w:tr w:rsidR="00D07FB7" w:rsidRPr="00D07FB7" w14:paraId="0AE24318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290F1D39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  <w:vMerge/>
            <w:vAlign w:val="center"/>
          </w:tcPr>
          <w:p w14:paraId="43E0E72D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pct"/>
          </w:tcPr>
          <w:p w14:paraId="26119087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8.2 Bufor w zestawie</w:t>
            </w:r>
          </w:p>
        </w:tc>
      </w:tr>
      <w:tr w:rsidR="00D07FB7" w:rsidRPr="00D07FB7" w14:paraId="29A42DDD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25349E1A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  <w:vMerge/>
            <w:vAlign w:val="center"/>
          </w:tcPr>
          <w:p w14:paraId="6EA20FA1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pct"/>
          </w:tcPr>
          <w:p w14:paraId="5A3E7891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8.3 Możliwość mrożenia odczynnika roboczego</w:t>
            </w:r>
          </w:p>
        </w:tc>
      </w:tr>
      <w:tr w:rsidR="00D07FB7" w:rsidRPr="00D07FB7" w14:paraId="5714E71B" w14:textId="77777777" w:rsidTr="0079065D">
        <w:trPr>
          <w:jc w:val="center"/>
        </w:trPr>
        <w:tc>
          <w:tcPr>
            <w:tcW w:w="240" w:type="pct"/>
            <w:vMerge/>
            <w:vAlign w:val="center"/>
          </w:tcPr>
          <w:p w14:paraId="1A80534D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  <w:vMerge/>
            <w:vAlign w:val="center"/>
          </w:tcPr>
          <w:p w14:paraId="4808668C" w14:textId="77777777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pct"/>
          </w:tcPr>
          <w:p w14:paraId="0552DDD5" w14:textId="4A21E05B" w:rsidR="00D07FB7" w:rsidRPr="00D07FB7" w:rsidRDefault="00D07FB7" w:rsidP="00C63AE9">
            <w:pPr>
              <w:suppressLineNumbers/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8.4 Stabilność odczynnika roboczego minimum 30 dni w temp. - 20 </w:t>
            </w:r>
            <w:proofErr w:type="spellStart"/>
            <w:r w:rsidRPr="00D07FB7">
              <w:rPr>
                <w:rFonts w:ascii="Arial" w:hAnsi="Arial" w:cs="Arial"/>
                <w:sz w:val="20"/>
                <w:szCs w:val="20"/>
                <w:vertAlign w:val="superscript"/>
                <w:lang w:eastAsia="ar-SA"/>
              </w:rPr>
              <w:t>o</w:t>
            </w:r>
            <w:r w:rsidRPr="00D07FB7">
              <w:rPr>
                <w:rFonts w:ascii="Arial" w:hAnsi="Arial" w:cs="Arial"/>
                <w:sz w:val="20"/>
                <w:szCs w:val="20"/>
                <w:lang w:eastAsia="ar-SA"/>
              </w:rPr>
              <w:t>C</w:t>
            </w:r>
            <w:proofErr w:type="spellEnd"/>
          </w:p>
        </w:tc>
      </w:tr>
    </w:tbl>
    <w:p w14:paraId="5098F6FB" w14:textId="19AF52BB" w:rsidR="00EB71C5" w:rsidRPr="00EB129E" w:rsidRDefault="00EB71C5" w:rsidP="002E1EFE">
      <w:pPr>
        <w:widowControl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EB71C5" w:rsidRPr="00EB129E" w:rsidSect="002E4D81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308CB" w14:textId="77777777" w:rsidR="00F37293" w:rsidRDefault="00F37293" w:rsidP="00F37293">
      <w:pPr>
        <w:spacing w:after="0" w:line="240" w:lineRule="auto"/>
      </w:pPr>
      <w:r>
        <w:separator/>
      </w:r>
    </w:p>
  </w:endnote>
  <w:endnote w:type="continuationSeparator" w:id="0">
    <w:p w14:paraId="08046F00" w14:textId="77777777" w:rsidR="00F37293" w:rsidRDefault="00F37293" w:rsidP="00F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56537" w14:textId="77777777" w:rsidR="00F37293" w:rsidRDefault="00F37293" w:rsidP="00F37293">
      <w:pPr>
        <w:spacing w:after="0" w:line="240" w:lineRule="auto"/>
      </w:pPr>
      <w:r>
        <w:separator/>
      </w:r>
    </w:p>
  </w:footnote>
  <w:footnote w:type="continuationSeparator" w:id="0">
    <w:p w14:paraId="096EC5B3" w14:textId="77777777" w:rsidR="00F37293" w:rsidRDefault="00F37293" w:rsidP="00F3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ACD0" w14:textId="2C60CB46" w:rsidR="00947CD7" w:rsidRDefault="00947CD7" w:rsidP="002E1EFE">
    <w:pPr>
      <w:pStyle w:val="Nagwek"/>
    </w:pPr>
    <w:r>
      <w:t>Opis przedmiotu zamówienia</w:t>
    </w:r>
    <w:r w:rsidR="009A5EC7">
      <w:t xml:space="preserve"> Dz_202</w:t>
    </w:r>
    <w:r w:rsidR="002E1EFE">
      <w:t>6</w:t>
    </w:r>
    <w:r w:rsidR="009A5EC7">
      <w:t>_</w:t>
    </w:r>
    <w:r w:rsidR="002E1EFE"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16C97"/>
    <w:multiLevelType w:val="hybridMultilevel"/>
    <w:tmpl w:val="2458A0D6"/>
    <w:lvl w:ilvl="0" w:tplc="BDEED9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A17A7"/>
    <w:multiLevelType w:val="hybridMultilevel"/>
    <w:tmpl w:val="84843EAA"/>
    <w:lvl w:ilvl="0" w:tplc="90CC4E7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B0096B"/>
    <w:multiLevelType w:val="hybridMultilevel"/>
    <w:tmpl w:val="8E6435B0"/>
    <w:lvl w:ilvl="0" w:tplc="273449E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1A5D7A"/>
    <w:multiLevelType w:val="hybridMultilevel"/>
    <w:tmpl w:val="E0EA3082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5" w15:restartNumberingAfterBreak="0">
    <w:nsid w:val="5EA662A3"/>
    <w:multiLevelType w:val="hybridMultilevel"/>
    <w:tmpl w:val="3B4C62AE"/>
    <w:lvl w:ilvl="0" w:tplc="25F6B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36C15"/>
    <w:multiLevelType w:val="hybridMultilevel"/>
    <w:tmpl w:val="F742387E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C242E47A">
      <w:start w:val="2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78FA57B6"/>
    <w:multiLevelType w:val="multilevel"/>
    <w:tmpl w:val="718A5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4804458">
    <w:abstractNumId w:val="1"/>
  </w:num>
  <w:num w:numId="2" w16cid:durableId="67963405">
    <w:abstractNumId w:val="4"/>
  </w:num>
  <w:num w:numId="3" w16cid:durableId="1557082082">
    <w:abstractNumId w:val="6"/>
  </w:num>
  <w:num w:numId="4" w16cid:durableId="1360087476">
    <w:abstractNumId w:val="5"/>
  </w:num>
  <w:num w:numId="5" w16cid:durableId="338898082">
    <w:abstractNumId w:val="3"/>
  </w:num>
  <w:num w:numId="6" w16cid:durableId="591932283">
    <w:abstractNumId w:val="2"/>
  </w:num>
  <w:num w:numId="7" w16cid:durableId="1236939007">
    <w:abstractNumId w:val="7"/>
  </w:num>
  <w:num w:numId="8" w16cid:durableId="1689481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FE"/>
    <w:rsid w:val="000659FE"/>
    <w:rsid w:val="00066F36"/>
    <w:rsid w:val="000B4B0F"/>
    <w:rsid w:val="00133EBC"/>
    <w:rsid w:val="0015204E"/>
    <w:rsid w:val="00177ADA"/>
    <w:rsid w:val="002158C4"/>
    <w:rsid w:val="002617C4"/>
    <w:rsid w:val="00272C10"/>
    <w:rsid w:val="002810D6"/>
    <w:rsid w:val="002E1EFE"/>
    <w:rsid w:val="002E4D81"/>
    <w:rsid w:val="00340146"/>
    <w:rsid w:val="003673C7"/>
    <w:rsid w:val="00390737"/>
    <w:rsid w:val="003E389D"/>
    <w:rsid w:val="00515399"/>
    <w:rsid w:val="00577E03"/>
    <w:rsid w:val="0061060A"/>
    <w:rsid w:val="00633CF7"/>
    <w:rsid w:val="006D424D"/>
    <w:rsid w:val="006F1BF2"/>
    <w:rsid w:val="007231E3"/>
    <w:rsid w:val="00763361"/>
    <w:rsid w:val="00767BA8"/>
    <w:rsid w:val="0079065D"/>
    <w:rsid w:val="007C381C"/>
    <w:rsid w:val="00800050"/>
    <w:rsid w:val="00853AF7"/>
    <w:rsid w:val="008831FD"/>
    <w:rsid w:val="008F688D"/>
    <w:rsid w:val="009036E6"/>
    <w:rsid w:val="00927A45"/>
    <w:rsid w:val="0094195C"/>
    <w:rsid w:val="00947CD7"/>
    <w:rsid w:val="009A5EC7"/>
    <w:rsid w:val="00A77FB7"/>
    <w:rsid w:val="00B03D0E"/>
    <w:rsid w:val="00B46CD6"/>
    <w:rsid w:val="00C017D4"/>
    <w:rsid w:val="00C07073"/>
    <w:rsid w:val="00C45FAB"/>
    <w:rsid w:val="00C52A29"/>
    <w:rsid w:val="00C8095E"/>
    <w:rsid w:val="00CB4EC0"/>
    <w:rsid w:val="00CE52D6"/>
    <w:rsid w:val="00CE6F54"/>
    <w:rsid w:val="00D05542"/>
    <w:rsid w:val="00D07FB7"/>
    <w:rsid w:val="00E358B5"/>
    <w:rsid w:val="00E50538"/>
    <w:rsid w:val="00EB129E"/>
    <w:rsid w:val="00EB71C5"/>
    <w:rsid w:val="00F37293"/>
    <w:rsid w:val="00F61449"/>
    <w:rsid w:val="00F74551"/>
    <w:rsid w:val="00FC6EA9"/>
    <w:rsid w:val="00FE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000A"/>
  <w15:chartTrackingRefBased/>
  <w15:docId w15:val="{BDF9B30D-D7C8-41F1-8BF8-FFEE4815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8F688D"/>
    <w:pPr>
      <w:ind w:left="720"/>
      <w:contextualSpacing/>
    </w:pPr>
  </w:style>
  <w:style w:type="paragraph" w:customStyle="1" w:styleId="Default">
    <w:name w:val="Default"/>
    <w:rsid w:val="00A77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35</cp:revision>
  <dcterms:created xsi:type="dcterms:W3CDTF">2022-10-03T08:34:00Z</dcterms:created>
  <dcterms:modified xsi:type="dcterms:W3CDTF">2026-01-20T10:10:00Z</dcterms:modified>
</cp:coreProperties>
</file>