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Opis Przedmiotu Zamówienia</w:t>
      </w:r>
    </w:p>
    <w:p>
      <w:pPr>
        <w:pStyle w:val="Normal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Obligatoryjne parametry graniczne wymagane dla analizatora: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Analizator fabrycznie nowy lub używany, ale nie starszy niż 2016r., objęty gwarancją przez cały okres umowy.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Zasada pomiaru oparta na metodzie chromatografii jonowymiennej wysokociśnieniowej (HPLC).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Pomiar HbA1C wystandaryzowany względem metody referencyjnej IFCC/NGSP oraz analizator uczestniczy w badaniach kontroli zewnętrznej NGSP - dołączyć odpowiednie dokumenty (certyfikaty).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Możliwość wyboru jednostek wg metod DCCT lub IFCC.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  <w:lang w:eastAsia="ar-SA"/>
        </w:rPr>
        <w:t>Możliwość wykonania analiz z próbówek o rożnych pojemnościach.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Aparat wyposażony w czytnik kodów kreskowych.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Liniowość pomiaru: 2,5 - 22%.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Oznaczanie HbF z każdym badaniem HbA1c.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Brak interferencji na wynik badania: kompleksów hemoglobiny z innymi związkami niż glukoza, innych frakcji hemoglobin w metodzie pomiaru HbA1c.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Możliwość wykonania badania z pierwotnych probówek BD bez otwierania ich i bez przygotowania wstępnego hemolizatu.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Możliwość wykonania oznaczenia z krwi kapilarnej.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Automatyczny podajnik próbek z 10 miejscami na statywie.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Możliwość dostawiania próbek w czasie pracy analizatora.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Możliwość wykonania analiz z próbówek o różnych pojemnościach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Dwustronna komunikacja z systemem informatycznym oraz podłączenie aparatu do sytemu Info Medica – na koszt Wykonawcy.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Zapewnienie każdorazowo wymiany kolumny chromatograficznej przez autoryzowany serwis producenta.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  <w:lang w:eastAsia="ar-SA"/>
        </w:rPr>
        <w:t>Automatycznie wykonywane czynności codziennej obsługi aparatu.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Wykonawca pokrywa koszty kontroli zewnątrz laboratoryjnej z częstotliwością narzuconą przez organizatora programu.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Oprogramowanie analizatora w języku polskim, </w:t>
      </w:r>
      <w:r>
        <w:rPr>
          <w:rFonts w:cs="Arial" w:ascii="Arial" w:hAnsi="Arial"/>
          <w:sz w:val="20"/>
          <w:szCs w:val="20"/>
        </w:rPr>
        <w:t xml:space="preserve">dopuszczalne oprogramowanie w języku angielskim z  instrukcją obsługi w języku polskim. 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Wykonawca wraz z podpisaną umową dostarczy instrukcję obsługi w j. polskim w formie papierowej lub elektronicznej.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Wykonawca wraz z podpisaną umową dostarczy ulotki i karty charakterystyki w formie papierowej lub elektronicznej w j. polskim.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Wykonawca dostarczy wraz z aparatem komputer oraz czytnik kodów kreskowych.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Wymagania komputera: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Procesor klasy x64, Intel</w:t>
      </w:r>
      <w:r>
        <w:rPr>
          <w:rFonts w:cs="Arial" w:ascii="Arial" w:hAnsi="Arial"/>
          <w:color w:val="000000"/>
          <w:sz w:val="20"/>
          <w:szCs w:val="20"/>
        </w:rPr>
        <w:t xml:space="preserve"> i5 (co najmniej 12-tej generacji)</w:t>
      </w:r>
    </w:p>
    <w:p>
      <w:pPr>
        <w:pStyle w:val="ListParagraph"/>
        <w:numPr>
          <w:ilvl w:val="0"/>
          <w:numId w:val="2"/>
        </w:numPr>
        <w:rPr>
          <w:color w:val="000000"/>
        </w:rPr>
      </w:pPr>
      <w:r>
        <w:rPr>
          <w:rFonts w:cs="Arial" w:ascii="Arial" w:hAnsi="Arial"/>
          <w:color w:val="000000"/>
          <w:sz w:val="20"/>
          <w:szCs w:val="20"/>
        </w:rPr>
        <w:t>Pamięć RAM: 16 GB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color w:val="000000"/>
        </w:rPr>
      </w:pPr>
      <w:r>
        <w:rPr>
          <w:rFonts w:cs="Arial" w:ascii="Arial" w:hAnsi="Arial"/>
          <w:color w:val="000000"/>
          <w:sz w:val="20"/>
          <w:szCs w:val="20"/>
        </w:rPr>
        <w:t>Porty dostępne z tyłu obudowy 4 xUSB, 2 x RS232, 1x HDMI/DP, RJ45</w:t>
      </w:r>
    </w:p>
    <w:p>
      <w:pPr>
        <w:pStyle w:val="Zawartotabeli"/>
        <w:numPr>
          <w:ilvl w:val="0"/>
          <w:numId w:val="2"/>
        </w:numPr>
        <w:spacing w:lineRule="auto" w:line="276"/>
        <w:rPr>
          <w:color w:val="000000"/>
        </w:rPr>
      </w:pPr>
      <w:r>
        <w:rPr>
          <w:rFonts w:cs="Arial" w:ascii="Arial" w:hAnsi="Arial"/>
          <w:color w:val="000000"/>
        </w:rPr>
        <w:t>(Ethernet), możliwość rozbudowy o dodatkowe karty rozszerzeń RS</w:t>
      </w:r>
    </w:p>
    <w:p>
      <w:pPr>
        <w:pStyle w:val="Zawartotabeli"/>
        <w:numPr>
          <w:ilvl w:val="0"/>
          <w:numId w:val="2"/>
        </w:numPr>
        <w:spacing w:lineRule="auto" w:line="276"/>
        <w:rPr>
          <w:color w:val="000000"/>
        </w:rPr>
      </w:pPr>
      <w:r>
        <w:rPr>
          <w:rFonts w:cs="Arial" w:ascii="Arial" w:hAnsi="Arial"/>
          <w:color w:val="000000"/>
        </w:rPr>
        <w:t>Dysk twardy: min. 250 GB SSD</w:t>
      </w:r>
    </w:p>
    <w:p>
      <w:pPr>
        <w:pStyle w:val="Zawartotabeli"/>
        <w:numPr>
          <w:ilvl w:val="0"/>
          <w:numId w:val="2"/>
        </w:numPr>
        <w:spacing w:lineRule="auto" w:line="276"/>
        <w:rPr>
          <w:color w:val="000000"/>
        </w:rPr>
      </w:pPr>
      <w:r>
        <w:rPr>
          <w:rFonts w:cs="Arial" w:ascii="Arial" w:hAnsi="Arial"/>
          <w:color w:val="000000"/>
        </w:rPr>
        <w:t>Karta graficzna: Dedykowana lub zintegrowana, min. Intel HD</w:t>
      </w:r>
    </w:p>
    <w:p>
      <w:pPr>
        <w:pStyle w:val="Zawartotabeli"/>
        <w:numPr>
          <w:ilvl w:val="0"/>
          <w:numId w:val="2"/>
        </w:numPr>
        <w:spacing w:lineRule="auto" w:line="276"/>
        <w:rPr>
          <w:color w:val="000000"/>
        </w:rPr>
      </w:pPr>
      <w:r>
        <w:rPr>
          <w:rFonts w:cs="Arial" w:ascii="Arial" w:hAnsi="Arial"/>
          <w:color w:val="000000"/>
        </w:rPr>
        <w:t xml:space="preserve">Karta sieciowa: Zintegrowana 10/100/1000 Wake on LAN </w:t>
      </w:r>
    </w:p>
    <w:p>
      <w:pPr>
        <w:pStyle w:val="Zawartotabeli"/>
        <w:numPr>
          <w:ilvl w:val="0"/>
          <w:numId w:val="2"/>
        </w:numPr>
        <w:spacing w:lineRule="auto" w:line="276"/>
        <w:rPr>
          <w:color w:val="000000"/>
        </w:rPr>
      </w:pPr>
      <w:r>
        <w:rPr>
          <w:rFonts w:cs="Arial" w:ascii="Arial" w:hAnsi="Arial"/>
          <w:color w:val="000000"/>
        </w:rPr>
        <w:t>Klawiatura, mysz: Klawiatura typu Windows pełnowymiarowa mysz optyczne ( USB)</w:t>
      </w:r>
    </w:p>
    <w:p>
      <w:pPr>
        <w:pStyle w:val="Zawartotabeli"/>
        <w:numPr>
          <w:ilvl w:val="0"/>
          <w:numId w:val="2"/>
        </w:numPr>
        <w:spacing w:lineRule="auto" w:line="276"/>
        <w:rPr>
          <w:rFonts w:ascii="Arial" w:hAnsi="Arial" w:cs="Arial"/>
          <w:color w:val="FF0000"/>
        </w:rPr>
      </w:pPr>
      <w:r>
        <w:rPr>
          <w:rFonts w:cs="Arial" w:ascii="Arial" w:hAnsi="Arial"/>
          <w:color w:val="000000"/>
        </w:rPr>
        <w:t>System Operacyjny: minimum Windows 11 Pro</w:t>
      </w:r>
      <w:r>
        <w:rPr>
          <w:rFonts w:cs="Arial" w:ascii="Arial" w:hAnsi="Arial"/>
        </w:rPr>
        <w:t xml:space="preserve"> 64-bit PL 2013 lub równoważny 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Monitor LCD: wielkość ekranu min. 24 cal; złącze</w:t>
      </w:r>
      <w:bookmarkStart w:id="0" w:name="_GoBack"/>
      <w:bookmarkEnd w:id="0"/>
      <w:r>
        <w:rPr>
          <w:rFonts w:cs="Arial" w:ascii="Arial" w:hAnsi="Arial"/>
          <w:sz w:val="20"/>
          <w:szCs w:val="20"/>
        </w:rPr>
        <w:t xml:space="preserve"> HDMI, DP (w zależności od zastosowanego w komputerze).</w:t>
      </w:r>
    </w:p>
    <w:p>
      <w:pPr>
        <w:pStyle w:val="Normal"/>
        <w:spacing w:before="0" w:after="200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Parametry graniczne opisane powyżej stanowią minimum, które analizator oferowany przez Wykonawcę musi spełniać. Niespełnienie któregokolwiek z powyższych wymagań lub brak wymaganych dokumentów spowoduje odrzucenie oferty bez dalszej jej oceny.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8" w:top="1134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  <w:t xml:space="preserve">Dz_2025_06 </w:t>
    </w:r>
    <w:r>
      <w:rPr>
        <w:rFonts w:cs="Arial" w:ascii="Arial" w:hAnsi="Arial"/>
        <w:b/>
        <w:bCs/>
        <w:sz w:val="18"/>
        <w:szCs w:val="18"/>
      </w:rPr>
      <w:t>-</w:t>
    </w:r>
    <w:r>
      <w:rPr>
        <w:rFonts w:cs="Arial" w:ascii="Arial" w:hAnsi="Arial"/>
        <w:sz w:val="18"/>
        <w:szCs w:val="18"/>
      </w:rPr>
      <w:t xml:space="preserve">  Zakup odczynników do HBA1C wraz z dzierżawą aparatu na okres 24 miesięcy 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  <w:t xml:space="preserve">Dz_2025_06 </w:t>
    </w:r>
    <w:r>
      <w:rPr>
        <w:rFonts w:cs="Arial" w:ascii="Arial" w:hAnsi="Arial"/>
        <w:b/>
        <w:bCs/>
        <w:sz w:val="18"/>
        <w:szCs w:val="18"/>
      </w:rPr>
      <w:t>-</w:t>
    </w:r>
    <w:r>
      <w:rPr>
        <w:rFonts w:cs="Arial" w:ascii="Arial" w:hAnsi="Arial"/>
        <w:sz w:val="18"/>
        <w:szCs w:val="18"/>
      </w:rPr>
      <w:t xml:space="preserve">  Zakup odczynników do HBA1C wraz z dzierżawą aparatu na okres 24 miesięcy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3729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7293"/>
    <w:rPr>
      <w:rFonts w:ascii="Calibri" w:hAnsi="Calibri" w:eastAsia="Times New Roman" w:cs="Times New Roman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f37293"/>
    <w:rPr>
      <w:rFonts w:ascii="Calibri" w:hAnsi="Calibri" w:eastAsia="Times New Roman" w:cs="Times New Roman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f3729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f3729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f688d"/>
    <w:pPr>
      <w:spacing w:before="0" w:after="200"/>
      <w:ind w:left="720"/>
      <w:contextualSpacing/>
    </w:pPr>
    <w:rPr/>
  </w:style>
  <w:style w:type="paragraph" w:styleId="Zawartotabeli">
    <w:name w:val="Zawartość tabeli"/>
    <w:basedOn w:val="Normal"/>
    <w:qFormat/>
    <w:pPr>
      <w:suppressLineNumbers/>
      <w:suppressAutoHyphens w:val="true"/>
      <w:spacing w:lineRule="auto" w:line="240" w:before="0" w:after="0"/>
    </w:pPr>
    <w:rPr>
      <w:rFonts w:ascii="Times New Roman" w:hAnsi="Times New Roman"/>
      <w:sz w:val="20"/>
      <w:szCs w:val="20"/>
      <w:lang w:eastAsia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Application>LibreOffice/24.2.5.2$Windows_X86_64 LibreOffice_project/bffef4ea93e59bebbeaf7f431bb02b1a39ee8a59</Application>
  <AppVersion>15.0000</AppVersion>
  <Pages>1</Pages>
  <Words>436</Words>
  <Characters>2735</Characters>
  <CharactersWithSpaces>3109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2022-10-03T08:34:00Z</dcterms:created>
  <dc:creator>Dawid Jarząb</dc:creator>
  <dc:description/>
  <dc:language>pl-PL</dc:language>
  <cp:lastModifiedBy/>
  <cp:lastPrinted>2023-01-23T11:59:00Z</cp:lastPrinted>
  <dcterms:modified xsi:type="dcterms:W3CDTF">2025-02-20T11:33:59Z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